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Problem: Belief in Words</w:t>
      </w:r>
    </w:p>
    <w:p>
      <w:pPr>
        <w:pStyle w:val="BodyText"/>
        <w:bidi w:val="0"/>
        <w:jc w:val="start"/>
        <w:rPr/>
      </w:pPr>
      <w:r>
        <w:rPr/>
        <w:t xml:space="preserve">I cannot believe in any words from any point of view. Not because I choose not to, but because I cannot </w:t>
      </w:r>
      <w:r>
        <w:rPr>
          <w:rStyle w:val="Emphasis"/>
        </w:rPr>
        <w:t>prove</w:t>
      </w:r>
      <w:r>
        <w:rPr/>
        <w:t xml:space="preserve"> any words to myself—including these very words. This realization didn’t come out of nowhere. Everything I wrote before this was necessary to decode what "from a point of view" even means. It explained what kinds of points of view exist and why I cannot believe in words from </w:t>
      </w:r>
      <w:r>
        <w:rPr>
          <w:rStyle w:val="Emphasis"/>
        </w:rPr>
        <w:t>any</w:t>
      </w:r>
      <w:r>
        <w:rPr/>
        <w:t xml:space="preserve"> of them.</w:t>
      </w:r>
    </w:p>
    <w:p>
      <w:pPr>
        <w:pStyle w:val="BodyText"/>
        <w:bidi w:val="0"/>
        <w:jc w:val="start"/>
        <w:rPr/>
      </w:pPr>
      <w:r>
        <w:rPr/>
        <w:t>There are two key phrases that emerged from this:</w:t>
      </w:r>
    </w:p>
    <w:p>
      <w:pPr>
        <w:pStyle w:val="BodyText"/>
        <w:numPr>
          <w:ilvl w:val="0"/>
          <w:numId w:val="1"/>
        </w:numPr>
        <w:tabs>
          <w:tab w:val="clear" w:pos="709"/>
          <w:tab w:val="left" w:pos="709" w:leader="none"/>
        </w:tabs>
        <w:bidi w:val="0"/>
        <w:ind w:hanging="283" w:start="709"/>
        <w:jc w:val="start"/>
        <w:rPr/>
      </w:pPr>
      <w:r>
        <w:rPr>
          <w:rStyle w:val="Strong"/>
        </w:rPr>
        <w:t>"I cannot believe in any words from any point of view, because I cannot prove any words to myself from any point of view—including these words."</w:t>
      </w:r>
      <w:r>
        <w:rPr/>
        <w:br/>
        <w:t>To understand this, I needed all the prior work. It spells out what "from a point of view" refers to and why belief is impossible from all of them.</w:t>
      </w:r>
    </w:p>
    <w:p>
      <w:pPr>
        <w:pStyle w:val="BodyText"/>
        <w:numPr>
          <w:ilvl w:val="0"/>
          <w:numId w:val="1"/>
        </w:numPr>
        <w:tabs>
          <w:tab w:val="clear" w:pos="709"/>
          <w:tab w:val="left" w:pos="709" w:leader="none"/>
        </w:tabs>
        <w:bidi w:val="0"/>
        <w:ind w:hanging="283" w:start="709"/>
        <w:jc w:val="start"/>
        <w:rPr/>
      </w:pPr>
      <w:r>
        <w:rPr>
          <w:rStyle w:val="Strong"/>
        </w:rPr>
        <w:t>"Stop trying to believe in any words from any point of view."</w:t>
      </w:r>
      <w:r>
        <w:rPr/>
        <w:br/>
        <w:t xml:space="preserve">This is the second critical instruction. But here’s the catch: to understand </w:t>
      </w:r>
      <w:r>
        <w:rPr>
          <w:rStyle w:val="Emphasis"/>
        </w:rPr>
        <w:t>this</w:t>
      </w:r>
      <w:r>
        <w:rPr/>
        <w:t xml:space="preserve"> phrase correctly, I also need everything that came before it. Otherwise, I’ll misinterpret it. I’ll start imagining what it means to "stop trying to believe" in isolation, and in doing so, I’ll ironically </w:t>
      </w:r>
      <w:r>
        <w:rPr>
          <w:rStyle w:val="Emphasis"/>
        </w:rPr>
        <w:t>start believing</w:t>
      </w:r>
      <w:r>
        <w:rPr/>
        <w:t xml:space="preserve"> in the phrase itself from some point of view—which defeats the purpose.</w:t>
      </w:r>
    </w:p>
    <w:p>
      <w:pPr>
        <w:pStyle w:val="BodyText"/>
        <w:bidi w:val="0"/>
        <w:jc w:val="start"/>
        <w:rPr/>
      </w:pPr>
      <w:r>
        <w:rPr/>
        <w:t xml:space="preserve">The mistake is treating these phrases as standalone commands. They’re not. They’re </w:t>
      </w:r>
      <w:r>
        <w:rPr>
          <w:rStyle w:val="Emphasis"/>
        </w:rPr>
        <w:t>pointers</w:t>
      </w:r>
      <w:r>
        <w:rPr/>
        <w:t>. They point to something real in my mind: the observation that belief in words is impossible because proof is impossible. If I detach them from that observation, I’m just playing with words, and words alone can’t change my state.</w:t>
      </w:r>
    </w:p>
    <w:p>
      <w:pPr>
        <w:pStyle w:val="Style17"/>
        <w:bidi w:val="0"/>
        <w:jc w:val="start"/>
        <w:rPr/>
      </w:pPr>
      <w:r>
        <w:rPr/>
      </w:r>
    </w:p>
    <w:p>
      <w:pPr>
        <w:pStyle w:val="Heading3"/>
        <w:bidi w:val="0"/>
        <w:jc w:val="start"/>
        <w:rPr/>
      </w:pPr>
      <w:r>
        <w:rPr>
          <w:rStyle w:val="Strong"/>
          <w:b/>
          <w:bCs/>
        </w:rPr>
        <w:t>The Guide and the Meta-Guide</w:t>
      </w:r>
    </w:p>
    <w:p>
      <w:pPr>
        <w:pStyle w:val="BodyText"/>
        <w:bidi w:val="0"/>
        <w:jc w:val="start"/>
        <w:rPr/>
      </w:pPr>
      <w:r>
        <w:rPr/>
        <w:t xml:space="preserve">I thought I could write a "guide"—a set of words I believe in from some point of view, words that would help me reach a certain state. But that’s the problem: </w:t>
      </w:r>
      <w:r>
        <w:rPr>
          <w:rStyle w:val="Emphasis"/>
        </w:rPr>
        <w:t>no such guide can exist</w:t>
      </w:r>
      <w:r>
        <w:rPr/>
        <w:t>. There are no words I can believe in from any point of view, so no words can reliably alter my state just by reading or imagining them.</w:t>
      </w:r>
    </w:p>
    <w:p>
      <w:pPr>
        <w:pStyle w:val="BodyText"/>
        <w:bidi w:val="0"/>
        <w:jc w:val="start"/>
        <w:rPr/>
      </w:pPr>
      <w:r>
        <w:rPr>
          <w:rStyle w:val="Strong"/>
        </w:rPr>
        <w:t>What works instead?</w:t>
      </w:r>
    </w:p>
    <w:p>
      <w:pPr>
        <w:pStyle w:val="BodyText"/>
        <w:numPr>
          <w:ilvl w:val="0"/>
          <w:numId w:val="2"/>
        </w:numPr>
        <w:tabs>
          <w:tab w:val="clear" w:pos="709"/>
          <w:tab w:val="left" w:pos="709" w:leader="none"/>
        </w:tabs>
        <w:bidi w:val="0"/>
        <w:spacing w:before="0" w:after="0"/>
        <w:ind w:hanging="283" w:start="709"/>
        <w:jc w:val="start"/>
        <w:rPr/>
      </w:pPr>
      <w:r>
        <w:rPr>
          <w:rStyle w:val="Strong"/>
        </w:rPr>
        <w:t>The Guide</w:t>
      </w:r>
      <w:r>
        <w:rPr/>
        <w:t xml:space="preserve">: Just the two phrases above. </w:t>
      </w:r>
    </w:p>
    <w:p>
      <w:pPr>
        <w:pStyle w:val="BodyText"/>
        <w:numPr>
          <w:ilvl w:val="0"/>
          <w:numId w:val="2"/>
        </w:numPr>
        <w:tabs>
          <w:tab w:val="clear" w:pos="709"/>
          <w:tab w:val="left" w:pos="709" w:leader="none"/>
        </w:tabs>
        <w:bidi w:val="0"/>
        <w:spacing w:before="0" w:after="0"/>
        <w:ind w:hanging="283" w:start="709"/>
        <w:jc w:val="start"/>
        <w:rPr/>
      </w:pPr>
      <w:r>
        <w:rPr>
          <w:rStyle w:val="Strong"/>
        </w:rPr>
        <w:t>The Meta-Guide</w:t>
      </w:r>
      <w:r>
        <w:rPr/>
        <w:t xml:space="preserve">: Instructions on </w:t>
      </w:r>
      <w:r>
        <w:rPr>
          <w:rStyle w:val="Emphasis"/>
        </w:rPr>
        <w:t>how to read the guide correctly</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t xml:space="preserve">Don’t try to </w:t>
      </w:r>
      <w:r>
        <w:rPr>
          <w:rStyle w:val="Emphasis"/>
        </w:rPr>
        <w:t>visualize</w:t>
      </w:r>
      <w:r>
        <w:rPr/>
        <w:t xml:space="preserve"> the phrases. </w:t>
      </w:r>
    </w:p>
    <w:p>
      <w:pPr>
        <w:pStyle w:val="BodyText"/>
        <w:numPr>
          <w:ilvl w:val="1"/>
          <w:numId w:val="2"/>
        </w:numPr>
        <w:tabs>
          <w:tab w:val="clear" w:pos="709"/>
          <w:tab w:val="left" w:pos="1418" w:leader="none"/>
        </w:tabs>
        <w:bidi w:val="0"/>
        <w:spacing w:before="0" w:after="0"/>
        <w:ind w:hanging="283" w:start="1418"/>
        <w:jc w:val="start"/>
        <w:rPr/>
      </w:pPr>
      <w:r>
        <w:rPr/>
        <w:t xml:space="preserve">Don’t try to </w:t>
      </w:r>
      <w:r>
        <w:rPr>
          <w:rStyle w:val="Emphasis"/>
        </w:rPr>
        <w:t>internalize</w:t>
      </w:r>
      <w:r>
        <w:rPr/>
        <w:t xml:space="preserve"> them as commands. </w:t>
      </w:r>
    </w:p>
    <w:p>
      <w:pPr>
        <w:pStyle w:val="BodyText"/>
        <w:numPr>
          <w:ilvl w:val="1"/>
          <w:numId w:val="2"/>
        </w:numPr>
        <w:tabs>
          <w:tab w:val="clear" w:pos="709"/>
          <w:tab w:val="left" w:pos="1418" w:leader="none"/>
        </w:tabs>
        <w:bidi w:val="0"/>
        <w:spacing w:before="0" w:after="0"/>
        <w:ind w:hanging="283" w:start="1418"/>
        <w:jc w:val="start"/>
        <w:rPr/>
      </w:pPr>
      <w:r>
        <w:rPr/>
        <w:t xml:space="preserve">Don’t try to </w:t>
      </w:r>
      <w:r>
        <w:rPr>
          <w:rStyle w:val="Emphasis"/>
        </w:rPr>
        <w:t>believe</w:t>
      </w:r>
      <w:r>
        <w:rPr/>
        <w:t xml:space="preserve"> in them (because you can’t). </w:t>
      </w:r>
    </w:p>
    <w:p>
      <w:pPr>
        <w:pStyle w:val="BodyText"/>
        <w:numPr>
          <w:ilvl w:val="1"/>
          <w:numId w:val="2"/>
        </w:numPr>
        <w:tabs>
          <w:tab w:val="clear" w:pos="709"/>
          <w:tab w:val="left" w:pos="1418" w:leader="none"/>
        </w:tabs>
        <w:bidi w:val="0"/>
        <w:ind w:hanging="283" w:start="1418"/>
        <w:jc w:val="start"/>
        <w:rPr/>
      </w:pPr>
      <w:r>
        <w:rPr/>
        <w:t xml:space="preserve">Instead: </w:t>
      </w:r>
      <w:r>
        <w:rPr>
          <w:rStyle w:val="Strong"/>
        </w:rPr>
        <w:t>See what they point to</w:t>
      </w:r>
      <w:r>
        <w:rPr/>
        <w:t xml:space="preserve">. Remember the real observations they describe. Then </w:t>
      </w:r>
      <w:r>
        <w:rPr>
          <w:rStyle w:val="Emphasis"/>
        </w:rPr>
        <w:t>do</w:t>
      </w:r>
      <w:r>
        <w:rPr/>
        <w:t xml:space="preserve"> what they describe—not because the words have power, but because you’ve seen the truth they refer to. </w:t>
      </w:r>
    </w:p>
    <w:p>
      <w:pPr>
        <w:pStyle w:val="BodyText"/>
        <w:bidi w:val="0"/>
        <w:jc w:val="start"/>
        <w:rPr/>
      </w:pPr>
      <w:r>
        <w:rPr>
          <w:rStyle w:val="Strong"/>
        </w:rPr>
        <w:t>Why this works</w:t>
      </w:r>
      <w:r>
        <w:rPr/>
        <w:t>:</w:t>
        <w:br/>
        <w:t xml:space="preserve">Words are like signs on a road. A sign that says "Moscow → 500 km" doesn’t </w:t>
      </w:r>
      <w:r>
        <w:rPr>
          <w:rStyle w:val="Emphasis"/>
        </w:rPr>
        <w:t>move</w:t>
      </w:r>
      <w:r>
        <w:rPr/>
        <w:t xml:space="preserve"> you to Moscow. It just points. You have to walk yourself. Similarly, my guide doesn’t change my state by magic. It points to an action I must take: </w:t>
      </w:r>
      <w:r>
        <w:rPr>
          <w:rStyle w:val="Emphasis"/>
        </w:rPr>
        <w:t>stop trying to believe in words</w:t>
      </w:r>
      <w:r>
        <w:rPr/>
        <w:t>.</w:t>
      </w:r>
    </w:p>
    <w:p>
      <w:pPr>
        <w:pStyle w:val="Style17"/>
        <w:bidi w:val="0"/>
        <w:jc w:val="start"/>
        <w:rPr/>
      </w:pPr>
      <w:r>
        <w:rPr/>
      </w:r>
    </w:p>
    <w:p>
      <w:pPr>
        <w:pStyle w:val="Heading3"/>
        <w:bidi w:val="0"/>
        <w:jc w:val="start"/>
        <w:rPr/>
      </w:pPr>
      <w:r>
        <w:rPr>
          <w:rStyle w:val="Strong"/>
          <w:b/>
          <w:bCs/>
        </w:rPr>
        <w:t>The Trap of "Doing Something with Words"</w:t>
      </w:r>
    </w:p>
    <w:p>
      <w:pPr>
        <w:pStyle w:val="BodyText"/>
        <w:bidi w:val="0"/>
        <w:jc w:val="start"/>
        <w:rPr/>
      </w:pPr>
      <w:r>
        <w:rPr/>
        <w:t xml:space="preserve">The error I keep making is treating words as tools to </w:t>
      </w:r>
      <w:r>
        <w:rPr>
          <w:rStyle w:val="Emphasis"/>
        </w:rPr>
        <w:t>do</w:t>
      </w:r>
      <w:r>
        <w:rPr/>
        <w:t xml:space="preserve"> something. For example:</w:t>
      </w:r>
    </w:p>
    <w:p>
      <w:pPr>
        <w:pStyle w:val="BodyText"/>
        <w:numPr>
          <w:ilvl w:val="0"/>
          <w:numId w:val="3"/>
        </w:numPr>
        <w:tabs>
          <w:tab w:val="clear" w:pos="709"/>
          <w:tab w:val="left" w:pos="709" w:leader="none"/>
        </w:tabs>
        <w:bidi w:val="0"/>
        <w:spacing w:before="0" w:after="0"/>
        <w:ind w:hanging="283" w:start="709"/>
        <w:jc w:val="start"/>
        <w:rPr/>
      </w:pPr>
      <w:r>
        <w:rPr/>
        <w:t xml:space="preserve">I write a guide and then </w:t>
      </w:r>
      <w:r>
        <w:rPr>
          <w:rStyle w:val="Emphasis"/>
        </w:rPr>
        <w:t>try to believe in it</w:t>
      </w:r>
      <w:r>
        <w:rPr/>
        <w:t xml:space="preserve"> to change my state. </w:t>
      </w:r>
    </w:p>
    <w:p>
      <w:pPr>
        <w:pStyle w:val="BodyText"/>
        <w:numPr>
          <w:ilvl w:val="0"/>
          <w:numId w:val="3"/>
        </w:numPr>
        <w:tabs>
          <w:tab w:val="clear" w:pos="709"/>
          <w:tab w:val="left" w:pos="709" w:leader="none"/>
        </w:tabs>
        <w:bidi w:val="0"/>
        <w:spacing w:before="0" w:after="0"/>
        <w:ind w:hanging="283" w:start="709"/>
        <w:jc w:val="start"/>
        <w:rPr/>
      </w:pPr>
      <w:r>
        <w:rPr/>
        <w:t xml:space="preserve">I </w:t>
      </w:r>
      <w:r>
        <w:rPr>
          <w:rStyle w:val="Emphasis"/>
        </w:rPr>
        <w:t>visualize</w:t>
      </w:r>
      <w:r>
        <w:rPr/>
        <w:t xml:space="preserve"> the phrases, hoping that’ll trigger the right state. </w:t>
      </w:r>
    </w:p>
    <w:p>
      <w:pPr>
        <w:pStyle w:val="BodyText"/>
        <w:numPr>
          <w:ilvl w:val="0"/>
          <w:numId w:val="3"/>
        </w:numPr>
        <w:tabs>
          <w:tab w:val="clear" w:pos="709"/>
          <w:tab w:val="left" w:pos="709" w:leader="none"/>
        </w:tabs>
        <w:bidi w:val="0"/>
        <w:ind w:hanging="283" w:start="709"/>
        <w:jc w:val="start"/>
        <w:rPr/>
      </w:pPr>
      <w:r>
        <w:rPr/>
        <w:t xml:space="preserve">I </w:t>
      </w:r>
      <w:r>
        <w:rPr>
          <w:rStyle w:val="Emphasis"/>
        </w:rPr>
        <w:t>repeat</w:t>
      </w:r>
      <w:r>
        <w:rPr/>
        <w:t xml:space="preserve"> them like a mantra, as if repetition could force belief. </w:t>
      </w:r>
    </w:p>
    <w:p>
      <w:pPr>
        <w:pStyle w:val="BodyText"/>
        <w:bidi w:val="0"/>
        <w:jc w:val="start"/>
        <w:rPr/>
      </w:pPr>
      <w:r>
        <w:rPr/>
        <w:t xml:space="preserve">But none of this works because </w:t>
      </w:r>
      <w:r>
        <w:rPr>
          <w:rStyle w:val="Strong"/>
        </w:rPr>
        <w:t>I don’t believe in any words from any point of view</w:t>
      </w:r>
      <w:r>
        <w:rPr/>
        <w:t xml:space="preserve">. Words can’t </w:t>
      </w:r>
      <w:r>
        <w:rPr>
          <w:rStyle w:val="Emphasis"/>
        </w:rPr>
        <w:t>make</w:t>
      </w:r>
      <w:r>
        <w:rPr/>
        <w:t xml:space="preserve"> me do anything. They can only point to something I must do </w:t>
      </w:r>
      <w:r>
        <w:rPr>
          <w:rStyle w:val="Emphasis"/>
        </w:rPr>
        <w:t>myself</w:t>
      </w:r>
      <w:r>
        <w:rPr/>
        <w:t>.</w:t>
      </w:r>
    </w:p>
    <w:p>
      <w:pPr>
        <w:pStyle w:val="BodyText"/>
        <w:bidi w:val="0"/>
        <w:jc w:val="start"/>
        <w:rPr/>
      </w:pPr>
      <w:r>
        <w:rPr>
          <w:rStyle w:val="Strong"/>
        </w:rPr>
        <w:t>Example</w:t>
      </w:r>
      <w:r>
        <w:rPr/>
        <w:t>:</w:t>
        <w:br/>
        <w:t xml:space="preserve">If the guide says, </w:t>
      </w:r>
      <w:r>
        <w:rPr>
          <w:rStyle w:val="Emphasis"/>
        </w:rPr>
        <w:t>"Wave your hand,"</w:t>
      </w:r>
      <w:r>
        <w:rPr/>
        <w:t xml:space="preserve"> I don’t need to:</w:t>
      </w:r>
    </w:p>
    <w:p>
      <w:pPr>
        <w:pStyle w:val="BodyText"/>
        <w:numPr>
          <w:ilvl w:val="0"/>
          <w:numId w:val="4"/>
        </w:numPr>
        <w:tabs>
          <w:tab w:val="clear" w:pos="709"/>
          <w:tab w:val="left" w:pos="709" w:leader="none"/>
        </w:tabs>
        <w:bidi w:val="0"/>
        <w:spacing w:before="0" w:after="0"/>
        <w:ind w:hanging="283" w:start="709"/>
        <w:jc w:val="start"/>
        <w:rPr/>
      </w:pPr>
      <w:r>
        <w:rPr/>
        <w:t xml:space="preserve">Imagine waving my hand. </w:t>
      </w:r>
    </w:p>
    <w:p>
      <w:pPr>
        <w:pStyle w:val="BodyText"/>
        <w:numPr>
          <w:ilvl w:val="0"/>
          <w:numId w:val="4"/>
        </w:numPr>
        <w:tabs>
          <w:tab w:val="clear" w:pos="709"/>
          <w:tab w:val="left" w:pos="709" w:leader="none"/>
        </w:tabs>
        <w:bidi w:val="0"/>
        <w:spacing w:before="0" w:after="0"/>
        <w:ind w:hanging="283" w:start="709"/>
        <w:jc w:val="start"/>
        <w:rPr/>
      </w:pPr>
      <w:r>
        <w:rPr/>
        <w:t xml:space="preserve">"Internalize" the instruction. </w:t>
      </w:r>
    </w:p>
    <w:p>
      <w:pPr>
        <w:pStyle w:val="BodyText"/>
        <w:numPr>
          <w:ilvl w:val="0"/>
          <w:numId w:val="4"/>
        </w:numPr>
        <w:tabs>
          <w:tab w:val="clear" w:pos="709"/>
          <w:tab w:val="left" w:pos="709" w:leader="none"/>
        </w:tabs>
        <w:bidi w:val="0"/>
        <w:ind w:hanging="283" w:start="709"/>
        <w:jc w:val="start"/>
        <w:rPr/>
      </w:pPr>
      <w:r>
        <w:rPr/>
        <w:t xml:space="preserve">Believe in the words "wave your hand." </w:t>
      </w:r>
    </w:p>
    <w:p>
      <w:pPr>
        <w:pStyle w:val="BodyText"/>
        <w:bidi w:val="0"/>
        <w:jc w:val="start"/>
        <w:rPr/>
      </w:pPr>
      <w:r>
        <w:rPr/>
        <w:t xml:space="preserve">I just… wave my hand. The words are a reminder of an action I can take </w:t>
      </w:r>
      <w:r>
        <w:rPr>
          <w:rStyle w:val="Emphasis"/>
        </w:rPr>
        <w:t>without relying on the words themselves</w:t>
      </w:r>
      <w:r>
        <w:rPr/>
        <w:t>.</w:t>
      </w:r>
    </w:p>
    <w:p>
      <w:pPr>
        <w:pStyle w:val="Style17"/>
        <w:bidi w:val="0"/>
        <w:jc w:val="start"/>
        <w:rPr/>
      </w:pPr>
      <w:r>
        <w:rPr/>
      </w:r>
    </w:p>
    <w:p>
      <w:pPr>
        <w:pStyle w:val="Heading3"/>
        <w:bidi w:val="0"/>
        <w:jc w:val="start"/>
        <w:rPr/>
      </w:pPr>
      <w:r>
        <w:rPr>
          <w:rStyle w:val="Strong"/>
          <w:b/>
          <w:bCs/>
        </w:rPr>
        <w:t>The Illusion of Knowledge</w:t>
      </w:r>
    </w:p>
    <w:p>
      <w:pPr>
        <w:pStyle w:val="BodyText"/>
        <w:bidi w:val="0"/>
        <w:jc w:val="start"/>
        <w:rPr/>
      </w:pPr>
      <w:r>
        <w:rPr/>
        <w:t>I keep trying to answer questions like:</w:t>
      </w:r>
    </w:p>
    <w:p>
      <w:pPr>
        <w:pStyle w:val="BodyText"/>
        <w:numPr>
          <w:ilvl w:val="0"/>
          <w:numId w:val="5"/>
        </w:numPr>
        <w:tabs>
          <w:tab w:val="clear" w:pos="709"/>
          <w:tab w:val="left" w:pos="709" w:leader="none"/>
        </w:tabs>
        <w:bidi w:val="0"/>
        <w:spacing w:before="0" w:after="0"/>
        <w:ind w:hanging="283" w:start="709"/>
        <w:jc w:val="start"/>
        <w:rPr/>
      </w:pPr>
      <w:r>
        <w:rPr>
          <w:rStyle w:val="Emphasis"/>
        </w:rPr>
        <w:t>What do I really need to include in the guide?</w:t>
      </w:r>
      <w:r>
        <w:rPr/>
        <w:t xml:space="preserve"> </w:t>
      </w:r>
    </w:p>
    <w:p>
      <w:pPr>
        <w:pStyle w:val="BodyText"/>
        <w:numPr>
          <w:ilvl w:val="0"/>
          <w:numId w:val="5"/>
        </w:numPr>
        <w:tabs>
          <w:tab w:val="clear" w:pos="709"/>
          <w:tab w:val="left" w:pos="709" w:leader="none"/>
        </w:tabs>
        <w:bidi w:val="0"/>
        <w:spacing w:before="0" w:after="0"/>
        <w:ind w:hanging="283" w:start="709"/>
        <w:jc w:val="start"/>
        <w:rPr/>
      </w:pPr>
      <w:r>
        <w:rPr>
          <w:rStyle w:val="Emphasis"/>
        </w:rPr>
        <w:t>What’s unnecessary?</w:t>
      </w:r>
      <w:r>
        <w:rPr/>
        <w:t xml:space="preserve"> </w:t>
      </w:r>
    </w:p>
    <w:p>
      <w:pPr>
        <w:pStyle w:val="BodyText"/>
        <w:numPr>
          <w:ilvl w:val="0"/>
          <w:numId w:val="5"/>
        </w:numPr>
        <w:tabs>
          <w:tab w:val="clear" w:pos="709"/>
          <w:tab w:val="left" w:pos="709" w:leader="none"/>
        </w:tabs>
        <w:bidi w:val="0"/>
        <w:ind w:hanging="283" w:start="709"/>
        <w:jc w:val="start"/>
        <w:rPr/>
      </w:pPr>
      <w:r>
        <w:rPr>
          <w:rStyle w:val="Emphasis"/>
        </w:rPr>
        <w:t>Why does this work?</w:t>
      </w:r>
      <w:r>
        <w:rPr/>
        <w:t xml:space="preserve"> </w:t>
      </w:r>
    </w:p>
    <w:p>
      <w:pPr>
        <w:pStyle w:val="BodyText"/>
        <w:bidi w:val="0"/>
        <w:jc w:val="start"/>
        <w:rPr/>
      </w:pPr>
      <w:r>
        <w:rPr/>
        <w:t xml:space="preserve">But these questions assume I can </w:t>
      </w:r>
      <w:r>
        <w:rPr>
          <w:rStyle w:val="Emphasis"/>
        </w:rPr>
        <w:t>know</w:t>
      </w:r>
      <w:r>
        <w:rPr/>
        <w:t xml:space="preserve"> the answers—and I can’t. I can’t believe in any answers from any point of view. The only thing I can do is:</w:t>
      </w:r>
    </w:p>
    <w:p>
      <w:pPr>
        <w:pStyle w:val="BodyText"/>
        <w:numPr>
          <w:ilvl w:val="0"/>
          <w:numId w:val="6"/>
        </w:numPr>
        <w:tabs>
          <w:tab w:val="clear" w:pos="709"/>
          <w:tab w:val="left" w:pos="709" w:leader="none"/>
        </w:tabs>
        <w:bidi w:val="0"/>
        <w:spacing w:before="0" w:after="0"/>
        <w:ind w:hanging="283" w:start="709"/>
        <w:jc w:val="start"/>
        <w:rPr/>
      </w:pPr>
      <w:r>
        <w:rPr>
          <w:rStyle w:val="Strong"/>
        </w:rPr>
        <w:t>Observe</w:t>
      </w:r>
      <w:r>
        <w:rPr/>
        <w:t xml:space="preserve"> what happens when I follow the guide. </w:t>
      </w:r>
    </w:p>
    <w:p>
      <w:pPr>
        <w:pStyle w:val="BodyText"/>
        <w:numPr>
          <w:ilvl w:val="0"/>
          <w:numId w:val="6"/>
        </w:numPr>
        <w:tabs>
          <w:tab w:val="clear" w:pos="709"/>
          <w:tab w:val="left" w:pos="709" w:leader="none"/>
        </w:tabs>
        <w:bidi w:val="0"/>
        <w:spacing w:before="0" w:after="0"/>
        <w:ind w:hanging="283" w:start="709"/>
        <w:jc w:val="start"/>
        <w:rPr/>
      </w:pPr>
      <w:r>
        <w:rPr>
          <w:rStyle w:val="Strong"/>
        </w:rPr>
        <w:t>Act</w:t>
      </w:r>
      <w:r>
        <w:rPr/>
        <w:t xml:space="preserve"> based on that observation (e.g., stop trying to believe in words). </w:t>
      </w:r>
    </w:p>
    <w:p>
      <w:pPr>
        <w:pStyle w:val="BodyText"/>
        <w:numPr>
          <w:ilvl w:val="0"/>
          <w:numId w:val="6"/>
        </w:numPr>
        <w:tabs>
          <w:tab w:val="clear" w:pos="709"/>
          <w:tab w:val="left" w:pos="709" w:leader="none"/>
        </w:tabs>
        <w:bidi w:val="0"/>
        <w:ind w:hanging="283" w:start="709"/>
        <w:jc w:val="start"/>
        <w:rPr/>
      </w:pPr>
      <w:r>
        <w:rPr>
          <w:rStyle w:val="Strong"/>
        </w:rPr>
        <w:t>Repeat</w:t>
      </w:r>
      <w:r>
        <w:rPr/>
        <w:t xml:space="preserve"> without expecting words to give me certainty. </w:t>
      </w:r>
    </w:p>
    <w:p>
      <w:pPr>
        <w:pStyle w:val="BodyText"/>
        <w:bidi w:val="0"/>
        <w:jc w:val="start"/>
        <w:rPr/>
      </w:pPr>
      <w:r>
        <w:rPr>
          <w:rStyle w:val="Strong"/>
        </w:rPr>
        <w:t>The mistake</w:t>
      </w:r>
      <w:r>
        <w:rPr/>
        <w:t>:</w:t>
        <w:br/>
        <w:t xml:space="preserve">I think if I can just </w:t>
      </w:r>
      <w:r>
        <w:rPr>
          <w:rStyle w:val="Emphasis"/>
        </w:rPr>
        <w:t>find the right words</w:t>
      </w:r>
      <w:r>
        <w:rPr/>
        <w:t xml:space="preserve">, I’ll have a perfect guide. But there are no "right words." Words are just pointers to actions I must take </w:t>
      </w:r>
      <w:r>
        <w:rPr>
          <w:rStyle w:val="Emphasis"/>
        </w:rPr>
        <w:t>without their help</w:t>
      </w:r>
      <w:r>
        <w:rPr/>
        <w:t>.</w:t>
      </w:r>
    </w:p>
    <w:p>
      <w:pPr>
        <w:pStyle w:val="Style17"/>
        <w:bidi w:val="0"/>
        <w:jc w:val="start"/>
        <w:rPr/>
      </w:pPr>
      <w:r>
        <w:rPr/>
      </w:r>
    </w:p>
    <w:p>
      <w:pPr>
        <w:pStyle w:val="Heading3"/>
        <w:bidi w:val="0"/>
        <w:jc w:val="start"/>
        <w:rPr/>
      </w:pPr>
      <w:r>
        <w:rPr>
          <w:rStyle w:val="Strong"/>
          <w:b/>
          <w:bCs/>
        </w:rPr>
        <w:t>Testing the Guide</w:t>
      </w:r>
    </w:p>
    <w:p>
      <w:pPr>
        <w:pStyle w:val="BodyText"/>
        <w:bidi w:val="0"/>
        <w:jc w:val="start"/>
        <w:rPr/>
      </w:pPr>
      <w:r>
        <w:rPr>
          <w:rStyle w:val="Strong"/>
        </w:rPr>
        <w:t>Problem</w:t>
      </w:r>
      <w:r>
        <w:rPr/>
        <w:t>: When I test the two-phrase guide alone, it’s hard to remember what the phrases point to. I forget the observations behind them and start treating them as standalone commands—which doesn’t work.</w:t>
      </w:r>
    </w:p>
    <w:p>
      <w:pPr>
        <w:pStyle w:val="BodyText"/>
        <w:bidi w:val="0"/>
        <w:jc w:val="start"/>
        <w:rPr/>
      </w:pPr>
      <w:r>
        <w:rPr>
          <w:rStyle w:val="Strong"/>
        </w:rPr>
        <w:t>Solution</w:t>
      </w:r>
      <w:r>
        <w:rPr/>
        <w:t>:</w:t>
        <w:br/>
        <w:t>The meta-guide is essential. It reminds me:</w:t>
      </w:r>
    </w:p>
    <w:p>
      <w:pPr>
        <w:pStyle w:val="BodyText"/>
        <w:numPr>
          <w:ilvl w:val="0"/>
          <w:numId w:val="7"/>
        </w:numPr>
        <w:tabs>
          <w:tab w:val="clear" w:pos="709"/>
          <w:tab w:val="left" w:pos="709" w:leader="none"/>
        </w:tabs>
        <w:bidi w:val="0"/>
        <w:spacing w:before="0" w:after="0"/>
        <w:ind w:hanging="283" w:start="709"/>
        <w:jc w:val="start"/>
        <w:rPr/>
      </w:pPr>
      <w:r>
        <w:rPr/>
        <w:t xml:space="preserve">Don’t visualize or "internalize" the phrases. </w:t>
      </w:r>
    </w:p>
    <w:p>
      <w:pPr>
        <w:pStyle w:val="BodyText"/>
        <w:numPr>
          <w:ilvl w:val="0"/>
          <w:numId w:val="7"/>
        </w:numPr>
        <w:tabs>
          <w:tab w:val="clear" w:pos="709"/>
          <w:tab w:val="left" w:pos="709" w:leader="none"/>
        </w:tabs>
        <w:bidi w:val="0"/>
        <w:spacing w:before="0" w:after="0"/>
        <w:ind w:hanging="283" w:start="709"/>
        <w:jc w:val="start"/>
        <w:rPr/>
      </w:pPr>
      <w:r>
        <w:rPr/>
        <w:t xml:space="preserve">Remember what they </w:t>
      </w:r>
      <w:r>
        <w:rPr>
          <w:rStyle w:val="Emphasis"/>
        </w:rPr>
        <w:t>point to</w:t>
      </w:r>
      <w:r>
        <w:rPr/>
        <w:t xml:space="preserve"> (e.g., the impossibility of belief). </w:t>
      </w:r>
    </w:p>
    <w:p>
      <w:pPr>
        <w:pStyle w:val="BodyText"/>
        <w:numPr>
          <w:ilvl w:val="0"/>
          <w:numId w:val="7"/>
        </w:numPr>
        <w:tabs>
          <w:tab w:val="clear" w:pos="709"/>
          <w:tab w:val="left" w:pos="709" w:leader="none"/>
        </w:tabs>
        <w:bidi w:val="0"/>
        <w:ind w:hanging="283" w:start="709"/>
        <w:jc w:val="start"/>
        <w:rPr/>
      </w:pPr>
      <w:r>
        <w:rPr/>
        <w:t xml:space="preserve">Take the action they describe (e.g., stop trying to believe). </w:t>
      </w:r>
    </w:p>
    <w:p>
      <w:pPr>
        <w:pStyle w:val="BodyText"/>
        <w:bidi w:val="0"/>
        <w:jc w:val="start"/>
        <w:rPr/>
      </w:pPr>
      <w:r>
        <w:rPr>
          <w:rStyle w:val="Strong"/>
        </w:rPr>
        <w:t>But what about others?</w:t>
      </w:r>
      <w:r>
        <w:rPr/>
        <w:br/>
        <w:t>If I give this guide to someone else, will they understand it without all the prior context? Probably not—because they won’t know what the phrases point to. They’ll try to visualize or believe in them, which won’t work.</w:t>
      </w:r>
    </w:p>
    <w:p>
      <w:pPr>
        <w:pStyle w:val="BodyText"/>
        <w:bidi w:val="0"/>
        <w:jc w:val="start"/>
        <w:rPr/>
      </w:pPr>
      <w:r>
        <w:rPr>
          <w:rStyle w:val="Strong"/>
        </w:rPr>
        <w:t>Possible fix</w:t>
      </w:r>
      <w:r>
        <w:rPr/>
        <w:t>:</w:t>
        <w:br/>
        <w:t xml:space="preserve">The meta-guide must teach them </w:t>
      </w:r>
      <w:r>
        <w:rPr>
          <w:rStyle w:val="Emphasis"/>
        </w:rPr>
        <w:t>how to see what words point to</w:t>
      </w:r>
      <w:r>
        <w:rPr/>
        <w:t xml:space="preserve"> instead of just imagining them. It’s not about the words themselves; it’s about the real observations behind them.</w:t>
      </w:r>
    </w:p>
    <w:p>
      <w:pPr>
        <w:pStyle w:val="Style17"/>
        <w:bidi w:val="0"/>
        <w:jc w:val="start"/>
        <w:rPr/>
      </w:pPr>
      <w:r>
        <w:rPr/>
      </w:r>
    </w:p>
    <w:p>
      <w:pPr>
        <w:pStyle w:val="Heading3"/>
        <w:bidi w:val="0"/>
        <w:jc w:val="start"/>
        <w:rPr/>
      </w:pPr>
      <w:r>
        <w:rPr>
          <w:rStyle w:val="Strong"/>
          <w:b/>
          <w:bCs/>
        </w:rPr>
        <w:t>Final Realization: Words as Tools vs. Words as Pointers</w:t>
      </w:r>
    </w:p>
    <w:p>
      <w:pPr>
        <w:pStyle w:val="BodyText"/>
        <w:bidi w:val="0"/>
        <w:jc w:val="start"/>
        <w:rPr/>
      </w:pPr>
      <w:r>
        <w:rPr>
          <w:rStyle w:val="Strong"/>
        </w:rPr>
        <w:t>Old habit</w:t>
      </w:r>
      <w:r>
        <w:rPr/>
        <w:t>:</w:t>
        <w:br/>
        <w:t xml:space="preserve">I used words as tools to control my state. I’d write a guide, then </w:t>
      </w:r>
      <w:r>
        <w:rPr>
          <w:rStyle w:val="Emphasis"/>
        </w:rPr>
        <w:t>try to believe in it</w:t>
      </w:r>
      <w:r>
        <w:rPr/>
        <w:t xml:space="preserve"> to force a change. But this always failed because belief is impossible.</w:t>
      </w:r>
    </w:p>
    <w:p>
      <w:pPr>
        <w:pStyle w:val="BodyText"/>
        <w:bidi w:val="0"/>
        <w:jc w:val="start"/>
        <w:rPr/>
      </w:pPr>
      <w:r>
        <w:rPr>
          <w:rStyle w:val="Strong"/>
        </w:rPr>
        <w:t>New approach</w:t>
      </w:r>
      <w:r>
        <w:rPr/>
        <w:t>:</w:t>
        <w:br/>
        <w:t xml:space="preserve">Words are </w:t>
      </w:r>
      <w:r>
        <w:rPr>
          <w:rStyle w:val="Emphasis"/>
        </w:rPr>
        <w:t>only pointers</w:t>
      </w:r>
      <w:r>
        <w:rPr/>
        <w:t xml:space="preserve">. They remind me of actions I must take </w:t>
      </w:r>
      <w:r>
        <w:rPr>
          <w:rStyle w:val="Emphasis"/>
        </w:rPr>
        <w:t>myself</w:t>
      </w:r>
      <w:r>
        <w:rPr/>
        <w:t>. For example:</w:t>
      </w:r>
    </w:p>
    <w:p>
      <w:pPr>
        <w:pStyle w:val="BodyText"/>
        <w:numPr>
          <w:ilvl w:val="0"/>
          <w:numId w:val="8"/>
        </w:numPr>
        <w:tabs>
          <w:tab w:val="clear" w:pos="709"/>
          <w:tab w:val="left" w:pos="709" w:leader="none"/>
        </w:tabs>
        <w:bidi w:val="0"/>
        <w:spacing w:before="0" w:after="0"/>
        <w:ind w:hanging="283" w:start="709"/>
        <w:jc w:val="start"/>
        <w:rPr/>
      </w:pPr>
      <w:r>
        <w:rPr/>
        <w:t xml:space="preserve">The phrase </w:t>
      </w:r>
      <w:r>
        <w:rPr>
          <w:rStyle w:val="Emphasis"/>
        </w:rPr>
        <w:t>"I cannot believe in any words"</w:t>
      </w:r>
      <w:r>
        <w:rPr/>
        <w:t xml:space="preserve"> points to the observation that proof is impossible. </w:t>
      </w:r>
    </w:p>
    <w:p>
      <w:pPr>
        <w:pStyle w:val="BodyText"/>
        <w:numPr>
          <w:ilvl w:val="0"/>
          <w:numId w:val="8"/>
        </w:numPr>
        <w:tabs>
          <w:tab w:val="clear" w:pos="709"/>
          <w:tab w:val="left" w:pos="709" w:leader="none"/>
        </w:tabs>
        <w:bidi w:val="0"/>
        <w:ind w:hanging="283" w:start="709"/>
        <w:jc w:val="start"/>
        <w:rPr/>
      </w:pPr>
      <w:r>
        <w:rPr/>
        <w:t xml:space="preserve">The phrase </w:t>
      </w:r>
      <w:r>
        <w:rPr>
          <w:rStyle w:val="Emphasis"/>
        </w:rPr>
        <w:t>"Stop trying to believe"</w:t>
      </w:r>
      <w:r>
        <w:rPr/>
        <w:t xml:space="preserve"> points to the action of ceasing a futile effort. </w:t>
      </w:r>
    </w:p>
    <w:p>
      <w:pPr>
        <w:pStyle w:val="BodyText"/>
        <w:bidi w:val="0"/>
        <w:jc w:val="start"/>
        <w:rPr/>
      </w:pPr>
      <w:r>
        <w:rPr>
          <w:rStyle w:val="Strong"/>
        </w:rPr>
        <w:t>Key</w:t>
      </w:r>
      <w:r>
        <w:rPr/>
        <w:t>:</w:t>
      </w:r>
    </w:p>
    <w:p>
      <w:pPr>
        <w:pStyle w:val="BodyText"/>
        <w:numPr>
          <w:ilvl w:val="0"/>
          <w:numId w:val="9"/>
        </w:numPr>
        <w:tabs>
          <w:tab w:val="clear" w:pos="709"/>
          <w:tab w:val="left" w:pos="709" w:leader="none"/>
        </w:tabs>
        <w:bidi w:val="0"/>
        <w:spacing w:before="0" w:after="0"/>
        <w:ind w:hanging="283" w:start="709"/>
        <w:jc w:val="start"/>
        <w:rPr/>
      </w:pPr>
      <w:r>
        <w:rPr>
          <w:rStyle w:val="Strong"/>
        </w:rPr>
        <w:t>Don’t use words to do anything</w:t>
      </w:r>
      <w:r>
        <w:rPr/>
        <w:t xml:space="preserve">. They can’t. </w:t>
      </w:r>
    </w:p>
    <w:p>
      <w:pPr>
        <w:pStyle w:val="BodyText"/>
        <w:numPr>
          <w:ilvl w:val="0"/>
          <w:numId w:val="9"/>
        </w:numPr>
        <w:tabs>
          <w:tab w:val="clear" w:pos="709"/>
          <w:tab w:val="left" w:pos="709" w:leader="none"/>
        </w:tabs>
        <w:bidi w:val="0"/>
        <w:ind w:hanging="283" w:start="709"/>
        <w:jc w:val="start"/>
        <w:rPr/>
      </w:pPr>
      <w:r>
        <w:rPr>
          <w:rStyle w:val="Strong"/>
        </w:rPr>
        <w:t>Use words to remember what to do</w:t>
      </w:r>
      <w:r>
        <w:rPr/>
        <w:t xml:space="preserve">, then </w:t>
      </w:r>
      <w:r>
        <w:rPr>
          <w:rStyle w:val="Emphasis"/>
        </w:rPr>
        <w:t>do it</w:t>
      </w:r>
      <w:r>
        <w:rPr/>
        <w:t xml:space="preserve"> without relying on the words. </w:t>
      </w:r>
    </w:p>
    <w:p>
      <w:pPr>
        <w:pStyle w:val="Style17"/>
        <w:bidi w:val="0"/>
        <w:jc w:val="start"/>
        <w:rPr/>
      </w:pPr>
      <w:r>
        <w:rPr/>
      </w:r>
    </w:p>
    <w:p>
      <w:pPr>
        <w:pStyle w:val="Heading3"/>
        <w:bidi w:val="0"/>
        <w:jc w:val="start"/>
        <w:rPr/>
      </w:pPr>
      <w:r>
        <w:rPr>
          <w:rStyle w:val="Strong"/>
          <w:b/>
          <w:bCs/>
        </w:rPr>
        <w:t>Conclusion: The Minimal Guide</w:t>
      </w:r>
    </w:p>
    <w:p>
      <w:pPr>
        <w:pStyle w:val="BodyText"/>
        <w:numPr>
          <w:ilvl w:val="0"/>
          <w:numId w:val="10"/>
        </w:numPr>
        <w:tabs>
          <w:tab w:val="clear" w:pos="709"/>
          <w:tab w:val="left" w:pos="709" w:leader="none"/>
        </w:tabs>
        <w:bidi w:val="0"/>
        <w:ind w:hanging="283" w:start="709"/>
        <w:jc w:val="start"/>
        <w:rPr/>
      </w:pPr>
      <w:r>
        <w:rPr>
          <w:rStyle w:val="Strong"/>
        </w:rPr>
        <w:t>The Guide</w:t>
      </w:r>
      <w:r>
        <w:rPr/>
        <w:t>:</w:t>
      </w:r>
    </w:p>
    <w:p>
      <w:pPr>
        <w:pStyle w:val="BodyText"/>
        <w:numPr>
          <w:ilvl w:val="1"/>
          <w:numId w:val="10"/>
        </w:numPr>
        <w:tabs>
          <w:tab w:val="clear" w:pos="709"/>
          <w:tab w:val="left" w:pos="1418" w:leader="none"/>
        </w:tabs>
        <w:bidi w:val="0"/>
        <w:spacing w:before="0" w:after="0"/>
        <w:ind w:hanging="283" w:start="1418"/>
        <w:jc w:val="start"/>
        <w:rPr/>
      </w:pPr>
      <w:r>
        <w:rPr/>
        <w:t xml:space="preserve">"I cannot believe in any words from any point of view, because I cannot prove any words to myself from any point of view—including these words." </w:t>
      </w:r>
    </w:p>
    <w:p>
      <w:pPr>
        <w:pStyle w:val="BodyText"/>
        <w:numPr>
          <w:ilvl w:val="1"/>
          <w:numId w:val="10"/>
        </w:numPr>
        <w:tabs>
          <w:tab w:val="clear" w:pos="709"/>
          <w:tab w:val="left" w:pos="1418" w:leader="none"/>
        </w:tabs>
        <w:bidi w:val="0"/>
        <w:spacing w:before="0" w:after="0"/>
        <w:ind w:hanging="283" w:start="1418"/>
        <w:jc w:val="start"/>
        <w:rPr/>
      </w:pPr>
      <w:r>
        <w:rPr/>
        <w:t xml:space="preserve">"Stop trying to believe in any words from any point of view." </w:t>
      </w:r>
    </w:p>
    <w:p>
      <w:pPr>
        <w:pStyle w:val="BodyText"/>
        <w:numPr>
          <w:ilvl w:val="0"/>
          <w:numId w:val="10"/>
        </w:numPr>
        <w:tabs>
          <w:tab w:val="clear" w:pos="709"/>
          <w:tab w:val="left" w:pos="709" w:leader="none"/>
        </w:tabs>
        <w:bidi w:val="0"/>
        <w:ind w:hanging="283" w:start="709"/>
        <w:jc w:val="start"/>
        <w:rPr/>
      </w:pPr>
      <w:r>
        <w:rPr>
          <w:rStyle w:val="Strong"/>
        </w:rPr>
        <w:t>The Meta-Guide</w:t>
      </w:r>
      <w:r>
        <w:rPr/>
        <w:t>:</w:t>
      </w:r>
    </w:p>
    <w:p>
      <w:pPr>
        <w:pStyle w:val="BodyText"/>
        <w:numPr>
          <w:ilvl w:val="1"/>
          <w:numId w:val="10"/>
        </w:numPr>
        <w:tabs>
          <w:tab w:val="clear" w:pos="709"/>
          <w:tab w:val="left" w:pos="1418" w:leader="none"/>
        </w:tabs>
        <w:bidi w:val="0"/>
        <w:spacing w:before="0" w:after="0"/>
        <w:ind w:hanging="283" w:start="1418"/>
        <w:jc w:val="start"/>
        <w:rPr/>
      </w:pPr>
      <w:r>
        <w:rPr/>
        <w:t xml:space="preserve">These phrases are </w:t>
      </w:r>
      <w:r>
        <w:rPr>
          <w:rStyle w:val="Emphasis"/>
        </w:rPr>
        <w:t>not commands</w:t>
      </w:r>
      <w:r>
        <w:rPr/>
        <w:t xml:space="preserve">. They’re pointers. </w:t>
      </w:r>
    </w:p>
    <w:p>
      <w:pPr>
        <w:pStyle w:val="BodyText"/>
        <w:numPr>
          <w:ilvl w:val="1"/>
          <w:numId w:val="10"/>
        </w:numPr>
        <w:tabs>
          <w:tab w:val="clear" w:pos="709"/>
          <w:tab w:val="left" w:pos="1418" w:leader="none"/>
        </w:tabs>
        <w:bidi w:val="0"/>
        <w:spacing w:before="0" w:after="0"/>
        <w:ind w:hanging="283" w:start="1418"/>
        <w:jc w:val="start"/>
        <w:rPr/>
      </w:pPr>
      <w:r>
        <w:rPr/>
        <w:t xml:space="preserve">To use them: </w:t>
      </w:r>
    </w:p>
    <w:p>
      <w:pPr>
        <w:pStyle w:val="BodyText"/>
        <w:numPr>
          <w:ilvl w:val="2"/>
          <w:numId w:val="10"/>
        </w:numPr>
        <w:tabs>
          <w:tab w:val="clear" w:pos="709"/>
          <w:tab w:val="left" w:pos="2127" w:leader="none"/>
        </w:tabs>
        <w:bidi w:val="0"/>
        <w:spacing w:before="0" w:after="0"/>
        <w:ind w:hanging="283" w:start="2127"/>
        <w:jc w:val="start"/>
        <w:rPr/>
      </w:pPr>
      <w:r>
        <w:rPr/>
        <w:t xml:space="preserve">Recall what they point to (your real observations). </w:t>
      </w:r>
    </w:p>
    <w:p>
      <w:pPr>
        <w:pStyle w:val="BodyText"/>
        <w:numPr>
          <w:ilvl w:val="2"/>
          <w:numId w:val="10"/>
        </w:numPr>
        <w:tabs>
          <w:tab w:val="clear" w:pos="709"/>
          <w:tab w:val="left" w:pos="2127" w:leader="none"/>
        </w:tabs>
        <w:bidi w:val="0"/>
        <w:spacing w:before="0" w:after="0"/>
        <w:ind w:hanging="283" w:start="2127"/>
        <w:jc w:val="start"/>
        <w:rPr/>
      </w:pPr>
      <w:r>
        <w:rPr/>
        <w:t xml:space="preserve">Take the action they describe (e.g., stop trying to believe). </w:t>
      </w:r>
    </w:p>
    <w:p>
      <w:pPr>
        <w:pStyle w:val="BodyText"/>
        <w:numPr>
          <w:ilvl w:val="1"/>
          <w:numId w:val="10"/>
        </w:numPr>
        <w:tabs>
          <w:tab w:val="clear" w:pos="709"/>
          <w:tab w:val="left" w:pos="1418" w:leader="none"/>
        </w:tabs>
        <w:bidi w:val="0"/>
        <w:spacing w:before="0" w:after="0"/>
        <w:ind w:hanging="283" w:start="1418"/>
        <w:jc w:val="start"/>
        <w:rPr/>
      </w:pPr>
      <w:r>
        <w:rPr>
          <w:rStyle w:val="Strong"/>
        </w:rPr>
        <w:t>Never</w:t>
      </w:r>
      <w:r>
        <w:rPr/>
        <w:t xml:space="preserve"> try to visualize, internalize, or believe in the phrases themselves. That’s the old habit that doesn’t work. </w:t>
      </w:r>
    </w:p>
    <w:p>
      <w:pPr>
        <w:pStyle w:val="BodyText"/>
        <w:numPr>
          <w:ilvl w:val="0"/>
          <w:numId w:val="10"/>
        </w:numPr>
        <w:tabs>
          <w:tab w:val="clear" w:pos="709"/>
          <w:tab w:val="left" w:pos="709" w:leader="none"/>
        </w:tabs>
        <w:bidi w:val="0"/>
        <w:ind w:hanging="283" w:start="709"/>
        <w:jc w:val="start"/>
        <w:rPr/>
      </w:pPr>
      <w:r>
        <w:rPr>
          <w:rStyle w:val="Strong"/>
        </w:rPr>
        <w:t>For Others</w:t>
      </w:r>
      <w:r>
        <w:rPr/>
        <w:t>:</w:t>
      </w:r>
    </w:p>
    <w:p>
      <w:pPr>
        <w:pStyle w:val="BodyText"/>
        <w:numPr>
          <w:ilvl w:val="1"/>
          <w:numId w:val="10"/>
        </w:numPr>
        <w:tabs>
          <w:tab w:val="clear" w:pos="709"/>
          <w:tab w:val="left" w:pos="1418" w:leader="none"/>
        </w:tabs>
        <w:bidi w:val="0"/>
        <w:spacing w:before="0" w:after="0"/>
        <w:ind w:hanging="283" w:start="1418"/>
        <w:jc w:val="start"/>
        <w:rPr/>
      </w:pPr>
      <w:r>
        <w:rPr/>
        <w:t xml:space="preserve">They’ll need the meta-guide to avoid misusing the phrases. </w:t>
      </w:r>
    </w:p>
    <w:p>
      <w:pPr>
        <w:pStyle w:val="BodyText"/>
        <w:numPr>
          <w:ilvl w:val="1"/>
          <w:numId w:val="10"/>
        </w:numPr>
        <w:tabs>
          <w:tab w:val="clear" w:pos="709"/>
          <w:tab w:val="left" w:pos="1418" w:leader="none"/>
        </w:tabs>
        <w:bidi w:val="0"/>
        <w:ind w:hanging="283" w:start="1418"/>
        <w:jc w:val="start"/>
        <w:rPr/>
      </w:pPr>
      <w:r>
        <w:rPr/>
        <w:t xml:space="preserve">Without it, they’ll treat the words as magic spells instead of pointers. </w:t>
      </w:r>
    </w:p>
    <w:p>
      <w:pPr>
        <w:pStyle w:val="BodyText"/>
        <w:bidi w:val="0"/>
        <w:jc w:val="start"/>
        <w:rPr/>
      </w:pPr>
      <w:r>
        <w:rPr>
          <w:rStyle w:val="Strong"/>
        </w:rPr>
        <w:t>Final Note</w:t>
      </w:r>
      <w:r>
        <w:rPr/>
        <w:t>:</w:t>
        <w:br/>
        <w:t xml:space="preserve">This isn’t about creating a perfect set of words. It’s about seeing the truth the words point to—and acting on it </w:t>
      </w:r>
      <w:r>
        <w:rPr>
          <w:rStyle w:val="Emphasis"/>
        </w:rPr>
        <w:t>without needing the words to work</w:t>
      </w:r>
      <w:r>
        <w:rPr/>
        <w:t xml:space="preserve">. The guide isn’t the solution. </w:t>
      </w:r>
      <w:r>
        <w:rPr>
          <w:rStyle w:val="Emphasis"/>
        </w:rPr>
        <w:t>Seeing and acting</w:t>
      </w:r>
      <w:r>
        <w:rPr/>
        <w:t xml:space="preserve"> is.</w:t>
      </w:r>
    </w:p>
    <w:p>
      <w:pPr>
        <w:pStyle w:val="Style17"/>
        <w:bidi w:val="0"/>
        <w:jc w:val="start"/>
        <w:rPr/>
      </w:pPr>
      <w:r>
        <w:rPr/>
      </w:r>
    </w:p>
    <w:p>
      <w:pPr>
        <w:pStyle w:val="BodyText"/>
        <w:bidi w:val="0"/>
        <w:jc w:val="start"/>
        <w:rPr/>
      </w:pPr>
      <w:r>
        <w:rPr>
          <w:rStyle w:val="Strong"/>
        </w:rPr>
        <w:t>End of Retelling</w:t>
      </w:r>
    </w:p>
    <w:p>
      <w:pPr>
        <w:pStyle w:val="Style17"/>
        <w:bidi w:val="0"/>
        <w:jc w:val="start"/>
        <w:rPr/>
      </w:pPr>
      <w:r>
        <w:rPr/>
      </w:r>
    </w:p>
    <w:p>
      <w:pPr>
        <w:pStyle w:val="Heading3"/>
        <w:bidi w:val="0"/>
        <w:jc w:val="start"/>
        <w:rPr/>
      </w:pPr>
      <w:r>
        <w:rPr>
          <w:rStyle w:val="Strong"/>
          <w:b/>
          <w:bCs/>
        </w:rPr>
        <w:t>Key Takeaways (Structured)</w:t>
      </w:r>
    </w:p>
    <w:tbl>
      <w:tblPr>
        <w:tblW w:w="9588" w:type="dxa"/>
        <w:jc w:val="start"/>
        <w:tblInd w:w="0" w:type="dxa"/>
        <w:tblLayout w:type="fixed"/>
        <w:tblCellMar>
          <w:top w:w="28" w:type="dxa"/>
          <w:start w:w="28" w:type="dxa"/>
          <w:bottom w:w="28" w:type="dxa"/>
          <w:end w:w="28" w:type="dxa"/>
        </w:tblCellMar>
      </w:tblPr>
      <w:tblGrid>
        <w:gridCol w:w="2041"/>
        <w:gridCol w:w="3363"/>
        <w:gridCol w:w="4184"/>
      </w:tblGrid>
      <w:tr>
        <w:trPr>
          <w:tblHeader w:val="true"/>
        </w:trPr>
        <w:tc>
          <w:tcPr>
            <w:tcW w:w="2041" w:type="dxa"/>
            <w:tcBorders/>
            <w:vAlign w:val="center"/>
          </w:tcPr>
          <w:p>
            <w:pPr>
              <w:pStyle w:val="Style19"/>
              <w:suppressLineNumbers/>
              <w:bidi w:val="0"/>
              <w:jc w:val="center"/>
              <w:rPr/>
            </w:pPr>
            <w:r>
              <w:rPr/>
              <w:t>Concept</w:t>
            </w:r>
          </w:p>
        </w:tc>
        <w:tc>
          <w:tcPr>
            <w:tcW w:w="3363" w:type="dxa"/>
            <w:tcBorders/>
            <w:vAlign w:val="center"/>
          </w:tcPr>
          <w:p>
            <w:pPr>
              <w:pStyle w:val="Style19"/>
              <w:suppressLineNumbers/>
              <w:bidi w:val="0"/>
              <w:jc w:val="center"/>
              <w:rPr/>
            </w:pPr>
            <w:r>
              <w:rPr/>
              <w:t>Old Approach</w:t>
            </w:r>
          </w:p>
        </w:tc>
        <w:tc>
          <w:tcPr>
            <w:tcW w:w="4184" w:type="dxa"/>
            <w:tcBorders/>
            <w:vAlign w:val="center"/>
          </w:tcPr>
          <w:p>
            <w:pPr>
              <w:pStyle w:val="Style19"/>
              <w:suppressLineNumbers/>
              <w:bidi w:val="0"/>
              <w:jc w:val="center"/>
              <w:rPr/>
            </w:pPr>
            <w:r>
              <w:rPr/>
              <w:t>New Approach</w:t>
            </w:r>
          </w:p>
        </w:tc>
      </w:tr>
      <w:tr>
        <w:trPr/>
        <w:tc>
          <w:tcPr>
            <w:tcW w:w="2041" w:type="dxa"/>
            <w:tcBorders/>
            <w:vAlign w:val="center"/>
          </w:tcPr>
          <w:p>
            <w:pPr>
              <w:pStyle w:val="Style18"/>
              <w:widowControl w:val="false"/>
              <w:suppressLineNumbers/>
              <w:bidi w:val="0"/>
              <w:jc w:val="start"/>
              <w:rPr/>
            </w:pPr>
            <w:r>
              <w:rPr>
                <w:rStyle w:val="Strong"/>
              </w:rPr>
              <w:t>Role of Words</w:t>
            </w:r>
          </w:p>
        </w:tc>
        <w:tc>
          <w:tcPr>
            <w:tcW w:w="3363" w:type="dxa"/>
            <w:tcBorders/>
            <w:vAlign w:val="center"/>
          </w:tcPr>
          <w:p>
            <w:pPr>
              <w:pStyle w:val="Style18"/>
              <w:widowControl w:val="false"/>
              <w:suppressLineNumbers/>
              <w:bidi w:val="0"/>
              <w:jc w:val="start"/>
              <w:rPr/>
            </w:pPr>
            <w:r>
              <w:rPr/>
              <w:t>Tools to believe in/act through.</w:t>
            </w:r>
          </w:p>
        </w:tc>
        <w:tc>
          <w:tcPr>
            <w:tcW w:w="4184" w:type="dxa"/>
            <w:tcBorders/>
            <w:vAlign w:val="center"/>
          </w:tcPr>
          <w:p>
            <w:pPr>
              <w:pStyle w:val="Style18"/>
              <w:widowControl w:val="false"/>
              <w:suppressLineNumbers/>
              <w:bidi w:val="0"/>
              <w:jc w:val="start"/>
              <w:rPr/>
            </w:pPr>
            <w:r>
              <w:rPr/>
              <w:t>Pointers to real observations/actions.</w:t>
            </w:r>
          </w:p>
        </w:tc>
      </w:tr>
      <w:tr>
        <w:trPr/>
        <w:tc>
          <w:tcPr>
            <w:tcW w:w="2041" w:type="dxa"/>
            <w:tcBorders/>
            <w:vAlign w:val="center"/>
          </w:tcPr>
          <w:p>
            <w:pPr>
              <w:pStyle w:val="Style18"/>
              <w:widowControl w:val="false"/>
              <w:suppressLineNumbers/>
              <w:bidi w:val="0"/>
              <w:jc w:val="start"/>
              <w:rPr/>
            </w:pPr>
            <w:r>
              <w:rPr>
                <w:rStyle w:val="Strong"/>
              </w:rPr>
              <w:t>Belief in Words</w:t>
            </w:r>
          </w:p>
        </w:tc>
        <w:tc>
          <w:tcPr>
            <w:tcW w:w="3363" w:type="dxa"/>
            <w:tcBorders/>
            <w:vAlign w:val="center"/>
          </w:tcPr>
          <w:p>
            <w:pPr>
              <w:pStyle w:val="Style18"/>
              <w:widowControl w:val="false"/>
              <w:suppressLineNumbers/>
              <w:bidi w:val="0"/>
              <w:jc w:val="start"/>
              <w:rPr/>
            </w:pPr>
            <w:r>
              <w:rPr/>
              <w:t>Tried to force belief in phrases.</w:t>
            </w:r>
          </w:p>
        </w:tc>
        <w:tc>
          <w:tcPr>
            <w:tcW w:w="4184" w:type="dxa"/>
            <w:tcBorders/>
            <w:vAlign w:val="center"/>
          </w:tcPr>
          <w:p>
            <w:pPr>
              <w:pStyle w:val="Style18"/>
              <w:widowControl w:val="false"/>
              <w:suppressLineNumbers/>
              <w:bidi w:val="0"/>
              <w:jc w:val="start"/>
              <w:rPr/>
            </w:pPr>
            <w:r>
              <w:rPr/>
              <w:t>Acknowledge belief is impossible.</w:t>
            </w:r>
          </w:p>
        </w:tc>
      </w:tr>
      <w:tr>
        <w:trPr/>
        <w:tc>
          <w:tcPr>
            <w:tcW w:w="2041" w:type="dxa"/>
            <w:tcBorders/>
            <w:vAlign w:val="center"/>
          </w:tcPr>
          <w:p>
            <w:pPr>
              <w:pStyle w:val="Style18"/>
              <w:widowControl w:val="false"/>
              <w:suppressLineNumbers/>
              <w:bidi w:val="0"/>
              <w:jc w:val="start"/>
              <w:rPr/>
            </w:pPr>
            <w:r>
              <w:rPr>
                <w:rStyle w:val="Strong"/>
              </w:rPr>
              <w:t>Guide Function</w:t>
            </w:r>
          </w:p>
        </w:tc>
        <w:tc>
          <w:tcPr>
            <w:tcW w:w="3363" w:type="dxa"/>
            <w:tcBorders/>
            <w:vAlign w:val="center"/>
          </w:tcPr>
          <w:p>
            <w:pPr>
              <w:pStyle w:val="Style18"/>
              <w:widowControl w:val="false"/>
              <w:suppressLineNumbers/>
              <w:bidi w:val="0"/>
              <w:jc w:val="start"/>
              <w:rPr/>
            </w:pPr>
            <w:r>
              <w:rPr/>
              <w:t>Words that "do" something to me.</w:t>
            </w:r>
          </w:p>
        </w:tc>
        <w:tc>
          <w:tcPr>
            <w:tcW w:w="4184" w:type="dxa"/>
            <w:tcBorders/>
            <w:vAlign w:val="center"/>
          </w:tcPr>
          <w:p>
            <w:pPr>
              <w:pStyle w:val="Style18"/>
              <w:widowControl w:val="false"/>
              <w:suppressLineNumbers/>
              <w:bidi w:val="0"/>
              <w:jc w:val="start"/>
              <w:rPr/>
            </w:pPr>
            <w:r>
              <w:rPr/>
              <w:t>Words that remind me to act myself.</w:t>
            </w:r>
          </w:p>
        </w:tc>
      </w:tr>
      <w:tr>
        <w:trPr/>
        <w:tc>
          <w:tcPr>
            <w:tcW w:w="2041" w:type="dxa"/>
            <w:tcBorders/>
            <w:vAlign w:val="center"/>
          </w:tcPr>
          <w:p>
            <w:pPr>
              <w:pStyle w:val="Style18"/>
              <w:widowControl w:val="false"/>
              <w:suppressLineNumbers/>
              <w:bidi w:val="0"/>
              <w:jc w:val="start"/>
              <w:rPr/>
            </w:pPr>
            <w:r>
              <w:rPr>
                <w:rStyle w:val="Strong"/>
              </w:rPr>
              <w:t>Reading the Guide</w:t>
            </w:r>
          </w:p>
        </w:tc>
        <w:tc>
          <w:tcPr>
            <w:tcW w:w="3363" w:type="dxa"/>
            <w:tcBorders/>
            <w:vAlign w:val="center"/>
          </w:tcPr>
          <w:p>
            <w:pPr>
              <w:pStyle w:val="Style18"/>
              <w:widowControl w:val="false"/>
              <w:suppressLineNumbers/>
              <w:bidi w:val="0"/>
              <w:jc w:val="start"/>
              <w:rPr/>
            </w:pPr>
            <w:r>
              <w:rPr/>
              <w:t>Visualize/internalize the phrases.</w:t>
            </w:r>
          </w:p>
        </w:tc>
        <w:tc>
          <w:tcPr>
            <w:tcW w:w="4184" w:type="dxa"/>
            <w:tcBorders/>
            <w:vAlign w:val="center"/>
          </w:tcPr>
          <w:p>
            <w:pPr>
              <w:pStyle w:val="Style18"/>
              <w:widowControl w:val="false"/>
              <w:suppressLineNumbers/>
              <w:bidi w:val="0"/>
              <w:jc w:val="start"/>
              <w:rPr/>
            </w:pPr>
            <w:r>
              <w:rPr/>
              <w:t>See what they point to, then act.</w:t>
            </w:r>
          </w:p>
        </w:tc>
      </w:tr>
      <w:tr>
        <w:trPr/>
        <w:tc>
          <w:tcPr>
            <w:tcW w:w="2041" w:type="dxa"/>
            <w:tcBorders/>
            <w:vAlign w:val="center"/>
          </w:tcPr>
          <w:p>
            <w:pPr>
              <w:pStyle w:val="Style18"/>
              <w:widowControl w:val="false"/>
              <w:suppressLineNumbers/>
              <w:bidi w:val="0"/>
              <w:jc w:val="start"/>
              <w:rPr/>
            </w:pPr>
            <w:r>
              <w:rPr>
                <w:rStyle w:val="Strong"/>
              </w:rPr>
              <w:t>Testing the Guide</w:t>
            </w:r>
          </w:p>
        </w:tc>
        <w:tc>
          <w:tcPr>
            <w:tcW w:w="3363" w:type="dxa"/>
            <w:tcBorders/>
            <w:vAlign w:val="center"/>
          </w:tcPr>
          <w:p>
            <w:pPr>
              <w:pStyle w:val="Style18"/>
              <w:widowControl w:val="false"/>
              <w:suppressLineNumbers/>
              <w:bidi w:val="0"/>
              <w:jc w:val="start"/>
              <w:rPr/>
            </w:pPr>
            <w:r>
              <w:rPr/>
              <w:t>Expect words to change my state.</w:t>
            </w:r>
          </w:p>
        </w:tc>
        <w:tc>
          <w:tcPr>
            <w:tcW w:w="4184" w:type="dxa"/>
            <w:tcBorders/>
            <w:vAlign w:val="center"/>
          </w:tcPr>
          <w:p>
            <w:pPr>
              <w:pStyle w:val="Style18"/>
              <w:widowControl w:val="false"/>
              <w:suppressLineNumbers/>
              <w:bidi w:val="0"/>
              <w:jc w:val="start"/>
              <w:rPr/>
            </w:pPr>
            <w:r>
              <w:rPr/>
              <w:t>Use words to recall actions, then do them.</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8">
    <w:name w:val="Содержимое таблицы"/>
    <w:basedOn w:val="Normal"/>
    <w:qFormat/>
    <w:pPr>
      <w:widowControl w:val="false"/>
      <w:suppressLineNumbers/>
    </w:pPr>
    <w:rPr/>
  </w:style>
  <w:style w:type="paragraph" w:styleId="Style19">
    <w:name w:val="Заголовок таблицы"/>
    <w:basedOn w:val="Style18"/>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1261</Words>
  <Characters>5781</Characters>
  <CharactersWithSpaces>6940</CharactersWithSpaces>
  <Paragraphs>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2026-03-24T07:37:54Z</dcterms:created>
  <dc:creator/>
  <dc:description/>
  <dc:language>ru-RU</dc:language>
  <cp:lastModifiedBy/>
  <dcterms:modified xsi:type="dcterms:W3CDTF">2026-03-24T07:37:55Z</dcterms:modified>
  <cp:revision>2</cp:revision>
  <dc:subject/>
  <dc:title>Calibri</dc:title>
</cp:coreProperties>
</file>